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E889C0" w14:textId="08152318" w:rsidR="0060248F" w:rsidRPr="0060248F" w:rsidRDefault="0060248F" w:rsidP="0060248F">
      <w:pPr>
        <w:tabs>
          <w:tab w:val="num" w:pos="1440"/>
        </w:tabs>
        <w:ind w:left="1440" w:hanging="360"/>
        <w:jc w:val="center"/>
        <w:rPr>
          <w:b/>
          <w:bCs/>
          <w:sz w:val="28"/>
          <w:szCs w:val="28"/>
          <w:lang w:val="es-CR"/>
        </w:rPr>
      </w:pPr>
      <w:r w:rsidRPr="0060248F">
        <w:rPr>
          <w:b/>
          <w:bCs/>
          <w:sz w:val="28"/>
          <w:szCs w:val="28"/>
          <w:lang w:val="es-CR"/>
        </w:rPr>
        <w:t>PROCEDIMIENTO PARA CONTRATAR UN ESPACIO TEMPORAL EN PASILLO</w:t>
      </w:r>
    </w:p>
    <w:p w14:paraId="150CF763" w14:textId="3F9D49EA" w:rsidR="0060248F" w:rsidRPr="0060248F" w:rsidRDefault="0060248F" w:rsidP="00741F92">
      <w:pPr>
        <w:numPr>
          <w:ilvl w:val="1"/>
          <w:numId w:val="1"/>
        </w:numPr>
        <w:jc w:val="both"/>
        <w:rPr>
          <w:lang w:val="es-CR"/>
        </w:rPr>
      </w:pPr>
      <w:r w:rsidRPr="0060248F">
        <w:rPr>
          <w:lang w:val="es-ES"/>
        </w:rPr>
        <w:t>Contactar a la encargada de eventos especiales al teléfono: 2257-4242</w:t>
      </w:r>
      <w:r>
        <w:rPr>
          <w:lang w:val="es-ES"/>
        </w:rPr>
        <w:t xml:space="preserve"> extensión 436 o al 8816-43-24</w:t>
      </w:r>
      <w:r w:rsidR="00406604">
        <w:rPr>
          <w:lang w:val="es-ES"/>
        </w:rPr>
        <w:t xml:space="preserve"> Laura Barrantes Vargas</w:t>
      </w:r>
    </w:p>
    <w:p w14:paraId="2D7B517B" w14:textId="77777777" w:rsidR="0060248F" w:rsidRPr="0060248F" w:rsidRDefault="0060248F" w:rsidP="00741F92">
      <w:pPr>
        <w:numPr>
          <w:ilvl w:val="1"/>
          <w:numId w:val="1"/>
        </w:numPr>
        <w:jc w:val="both"/>
        <w:rPr>
          <w:lang w:val="es-CR"/>
        </w:rPr>
      </w:pPr>
      <w:r w:rsidRPr="0060248F">
        <w:rPr>
          <w:lang w:val="es-ES"/>
        </w:rPr>
        <w:t>Concertar una cita para muestra de producto, en caso de ser un servicio no es necesario la cita.</w:t>
      </w:r>
    </w:p>
    <w:p w14:paraId="6EF19E38" w14:textId="44118A99" w:rsidR="0060248F" w:rsidRPr="0060248F" w:rsidRDefault="0060248F" w:rsidP="00741F92">
      <w:pPr>
        <w:numPr>
          <w:ilvl w:val="1"/>
          <w:numId w:val="1"/>
        </w:numPr>
        <w:jc w:val="both"/>
        <w:rPr>
          <w:lang w:val="es-CR"/>
        </w:rPr>
      </w:pPr>
      <w:r w:rsidRPr="0060248F">
        <w:rPr>
          <w:lang w:val="es-ES"/>
        </w:rPr>
        <w:t xml:space="preserve">Solicitar por correo electrónico </w:t>
      </w:r>
      <w:r>
        <w:rPr>
          <w:lang w:val="es-ES"/>
        </w:rPr>
        <w:t xml:space="preserve">la fecha </w:t>
      </w:r>
      <w:r w:rsidRPr="0060248F">
        <w:rPr>
          <w:lang w:val="es-ES"/>
        </w:rPr>
        <w:t>y el espacio para exhibición.</w:t>
      </w:r>
    </w:p>
    <w:p w14:paraId="03A7D061" w14:textId="2F8A97D4" w:rsidR="0060248F" w:rsidRPr="0060248F" w:rsidRDefault="0060248F" w:rsidP="00741F92">
      <w:pPr>
        <w:numPr>
          <w:ilvl w:val="1"/>
          <w:numId w:val="1"/>
        </w:numPr>
        <w:jc w:val="both"/>
        <w:rPr>
          <w:lang w:val="es-CR"/>
        </w:rPr>
      </w:pPr>
      <w:r w:rsidRPr="0060248F">
        <w:rPr>
          <w:lang w:val="es-ES"/>
        </w:rPr>
        <w:t>Una vez aprobad</w:t>
      </w:r>
      <w:r>
        <w:rPr>
          <w:lang w:val="es-ES"/>
        </w:rPr>
        <w:t xml:space="preserve">o el producto, </w:t>
      </w:r>
      <w:r w:rsidRPr="0060248F">
        <w:rPr>
          <w:lang w:val="es-ES"/>
        </w:rPr>
        <w:t>la fecha y el espacio,</w:t>
      </w:r>
      <w:r>
        <w:rPr>
          <w:lang w:val="es-ES"/>
        </w:rPr>
        <w:t xml:space="preserve"> se deja anotado y se reserva para no alquilarlo a nadie más.</w:t>
      </w:r>
    </w:p>
    <w:p w14:paraId="464FAF92" w14:textId="7D4FD98A" w:rsidR="0060248F" w:rsidRPr="0060248F" w:rsidRDefault="0060248F" w:rsidP="00741F92">
      <w:pPr>
        <w:numPr>
          <w:ilvl w:val="1"/>
          <w:numId w:val="1"/>
        </w:numPr>
        <w:jc w:val="both"/>
        <w:rPr>
          <w:lang w:val="es-CR"/>
        </w:rPr>
      </w:pPr>
      <w:r w:rsidRPr="0060248F">
        <w:rPr>
          <w:lang w:val="es-ES"/>
        </w:rPr>
        <w:t xml:space="preserve">El monto debe cancelarse </w:t>
      </w:r>
      <w:r>
        <w:rPr>
          <w:lang w:val="es-ES"/>
        </w:rPr>
        <w:t xml:space="preserve">por lo menos dos días </w:t>
      </w:r>
      <w:r w:rsidRPr="0060248F">
        <w:rPr>
          <w:lang w:val="es-ES"/>
        </w:rPr>
        <w:t xml:space="preserve">antes de </w:t>
      </w:r>
      <w:r>
        <w:rPr>
          <w:lang w:val="es-ES"/>
        </w:rPr>
        <w:t xml:space="preserve">iniciar </w:t>
      </w:r>
      <w:r w:rsidRPr="0060248F">
        <w:rPr>
          <w:lang w:val="es-ES"/>
        </w:rPr>
        <w:t xml:space="preserve">la exhibición, </w:t>
      </w:r>
      <w:r>
        <w:rPr>
          <w:lang w:val="es-ES"/>
        </w:rPr>
        <w:t>por medio de transferencia o depósito a la cuenta enviada</w:t>
      </w:r>
      <w:r w:rsidRPr="0060248F">
        <w:rPr>
          <w:lang w:val="es-ES"/>
        </w:rPr>
        <w:t>.</w:t>
      </w:r>
    </w:p>
    <w:p w14:paraId="7A0F5D29" w14:textId="5EEC15B5" w:rsidR="0060248F" w:rsidRPr="0060248F" w:rsidRDefault="0060248F" w:rsidP="00741F92">
      <w:pPr>
        <w:numPr>
          <w:ilvl w:val="1"/>
          <w:numId w:val="1"/>
        </w:numPr>
        <w:jc w:val="both"/>
        <w:rPr>
          <w:lang w:val="es-CR"/>
        </w:rPr>
      </w:pPr>
      <w:r w:rsidRPr="0060248F">
        <w:rPr>
          <w:lang w:val="es-ES"/>
        </w:rPr>
        <w:t xml:space="preserve">El </w:t>
      </w:r>
      <w:r>
        <w:rPr>
          <w:lang w:val="es-ES"/>
        </w:rPr>
        <w:t>horario del m</w:t>
      </w:r>
      <w:r w:rsidRPr="0060248F">
        <w:rPr>
          <w:lang w:val="es-ES"/>
        </w:rPr>
        <w:t xml:space="preserve">ontaje es el </w:t>
      </w:r>
      <w:r>
        <w:rPr>
          <w:lang w:val="es-ES"/>
        </w:rPr>
        <w:t xml:space="preserve">día de inicio de la exhibición </w:t>
      </w:r>
      <w:r w:rsidRPr="0060248F">
        <w:rPr>
          <w:lang w:val="es-ES"/>
        </w:rPr>
        <w:t xml:space="preserve">a </w:t>
      </w:r>
      <w:r>
        <w:rPr>
          <w:lang w:val="es-ES"/>
        </w:rPr>
        <w:t>partir de las 8</w:t>
      </w:r>
      <w:r w:rsidRPr="0060248F">
        <w:rPr>
          <w:lang w:val="es-ES"/>
        </w:rPr>
        <w:t>:</w:t>
      </w:r>
      <w:r>
        <w:rPr>
          <w:lang w:val="es-ES"/>
        </w:rPr>
        <w:t>3</w:t>
      </w:r>
      <w:r w:rsidRPr="0060248F">
        <w:rPr>
          <w:lang w:val="es-ES"/>
        </w:rPr>
        <w:t>0 am. Debe u</w:t>
      </w:r>
      <w:r>
        <w:rPr>
          <w:lang w:val="es-ES"/>
        </w:rPr>
        <w:t>tilizar</w:t>
      </w:r>
      <w:r w:rsidRPr="0060248F">
        <w:rPr>
          <w:lang w:val="es-ES"/>
        </w:rPr>
        <w:t xml:space="preserve"> siempre la zona de descarga del centro comerci</w:t>
      </w:r>
      <w:r>
        <w:rPr>
          <w:lang w:val="es-ES"/>
        </w:rPr>
        <w:t>al</w:t>
      </w:r>
      <w:r w:rsidRPr="0060248F">
        <w:rPr>
          <w:lang w:val="es-ES"/>
        </w:rPr>
        <w:t>.</w:t>
      </w:r>
    </w:p>
    <w:p w14:paraId="3A75E807" w14:textId="30ED3330" w:rsidR="0060248F" w:rsidRPr="0060248F" w:rsidRDefault="0060248F" w:rsidP="00741F92">
      <w:pPr>
        <w:numPr>
          <w:ilvl w:val="1"/>
          <w:numId w:val="1"/>
        </w:numPr>
        <w:jc w:val="both"/>
        <w:rPr>
          <w:lang w:val="es-CR"/>
        </w:rPr>
      </w:pPr>
      <w:r w:rsidRPr="0060248F">
        <w:rPr>
          <w:lang w:val="es-ES"/>
        </w:rPr>
        <w:t xml:space="preserve">El espacio de exhibición tiene un tamaño de </w:t>
      </w:r>
      <w:r w:rsidR="00F65C47">
        <w:rPr>
          <w:lang w:val="es-ES"/>
        </w:rPr>
        <w:t>3</w:t>
      </w:r>
      <w:r w:rsidRPr="0060248F">
        <w:rPr>
          <w:lang w:val="es-ES"/>
        </w:rPr>
        <w:t xml:space="preserve"> x </w:t>
      </w:r>
      <w:r w:rsidR="00F65C47">
        <w:rPr>
          <w:lang w:val="es-ES"/>
        </w:rPr>
        <w:t>3</w:t>
      </w:r>
      <w:r w:rsidRPr="0060248F">
        <w:rPr>
          <w:lang w:val="es-ES"/>
        </w:rPr>
        <w:t xml:space="preserve"> m</w:t>
      </w:r>
      <w:r>
        <w:rPr>
          <w:lang w:val="es-ES"/>
        </w:rPr>
        <w:t>e</w:t>
      </w:r>
      <w:r w:rsidRPr="0060248F">
        <w:rPr>
          <w:lang w:val="es-ES"/>
        </w:rPr>
        <w:t>t</w:t>
      </w:r>
      <w:r>
        <w:rPr>
          <w:lang w:val="es-ES"/>
        </w:rPr>
        <w:t>ro</w:t>
      </w:r>
      <w:r w:rsidRPr="0060248F">
        <w:rPr>
          <w:lang w:val="es-ES"/>
        </w:rPr>
        <w:t xml:space="preserve">s cuadrados, todos los espacios poseen electricidad. Se le recuerda que las bancas que están en el centro comercial son para uso de los clientes y no forman parte del área de exhibición, por esto se debe dejar una distancia de un metro entre la banca y </w:t>
      </w:r>
      <w:r>
        <w:rPr>
          <w:lang w:val="es-ES"/>
        </w:rPr>
        <w:t>la</w:t>
      </w:r>
      <w:r w:rsidRPr="0060248F">
        <w:rPr>
          <w:lang w:val="es-ES"/>
        </w:rPr>
        <w:t xml:space="preserve"> ex</w:t>
      </w:r>
      <w:r>
        <w:rPr>
          <w:lang w:val="es-ES"/>
        </w:rPr>
        <w:t>hibición</w:t>
      </w:r>
      <w:r w:rsidRPr="0060248F">
        <w:rPr>
          <w:lang w:val="es-ES"/>
        </w:rPr>
        <w:t>.</w:t>
      </w:r>
    </w:p>
    <w:p w14:paraId="58533161" w14:textId="44E4488A" w:rsidR="0060248F" w:rsidRPr="0060248F" w:rsidRDefault="0060248F" w:rsidP="00741F92">
      <w:pPr>
        <w:numPr>
          <w:ilvl w:val="1"/>
          <w:numId w:val="1"/>
        </w:numPr>
        <w:jc w:val="both"/>
        <w:rPr>
          <w:lang w:val="es-CR"/>
        </w:rPr>
      </w:pPr>
      <w:r w:rsidRPr="0060248F">
        <w:rPr>
          <w:lang w:val="es-ES"/>
        </w:rPr>
        <w:t xml:space="preserve">El horario de </w:t>
      </w:r>
      <w:r>
        <w:rPr>
          <w:lang w:val="es-ES"/>
        </w:rPr>
        <w:t>l</w:t>
      </w:r>
      <w:r w:rsidR="00741F92">
        <w:rPr>
          <w:lang w:val="es-ES"/>
        </w:rPr>
        <w:t>os espacios temporales en pasillo para atención a los clientes</w:t>
      </w:r>
      <w:r w:rsidRPr="0060248F">
        <w:rPr>
          <w:lang w:val="es-ES"/>
        </w:rPr>
        <w:t xml:space="preserve"> es de 10:00 am a 7:00 pm </w:t>
      </w:r>
      <w:r w:rsidR="00741F92">
        <w:rPr>
          <w:lang w:val="es-ES"/>
        </w:rPr>
        <w:t>t</w:t>
      </w:r>
      <w:r w:rsidRPr="0060248F">
        <w:rPr>
          <w:lang w:val="es-ES"/>
        </w:rPr>
        <w:t>odos los días.</w:t>
      </w:r>
    </w:p>
    <w:p w14:paraId="0A9A321B" w14:textId="740D6594" w:rsidR="0060248F" w:rsidRPr="0060248F" w:rsidRDefault="0060248F" w:rsidP="00741F92">
      <w:pPr>
        <w:numPr>
          <w:ilvl w:val="1"/>
          <w:numId w:val="1"/>
        </w:numPr>
        <w:jc w:val="both"/>
        <w:rPr>
          <w:lang w:val="es-CR"/>
        </w:rPr>
      </w:pPr>
      <w:r w:rsidRPr="0060248F">
        <w:rPr>
          <w:lang w:val="es-ES"/>
        </w:rPr>
        <w:t xml:space="preserve">Cada expositor debe llevar su </w:t>
      </w:r>
      <w:r w:rsidR="00741F92">
        <w:rPr>
          <w:lang w:val="es-ES"/>
        </w:rPr>
        <w:t xml:space="preserve">propio </w:t>
      </w:r>
      <w:r w:rsidRPr="0060248F">
        <w:rPr>
          <w:lang w:val="es-ES"/>
        </w:rPr>
        <w:t xml:space="preserve">mobiliario, el centro comercial no se hace responsable del manejo de la mercadería ni de la seguridad de </w:t>
      </w:r>
      <w:proofErr w:type="gramStart"/>
      <w:r w:rsidRPr="0060248F">
        <w:rPr>
          <w:lang w:val="es-ES"/>
        </w:rPr>
        <w:t>la misma</w:t>
      </w:r>
      <w:proofErr w:type="gramEnd"/>
      <w:r w:rsidRPr="0060248F">
        <w:rPr>
          <w:lang w:val="es-ES"/>
        </w:rPr>
        <w:t>, la seguridad se debe entender como auxiliar y no así obligatoria.</w:t>
      </w:r>
    </w:p>
    <w:p w14:paraId="5880DD72" w14:textId="0A59B246" w:rsidR="0060248F" w:rsidRPr="0060248F" w:rsidRDefault="0060248F" w:rsidP="00741F92">
      <w:pPr>
        <w:numPr>
          <w:ilvl w:val="1"/>
          <w:numId w:val="1"/>
        </w:numPr>
        <w:jc w:val="both"/>
        <w:rPr>
          <w:lang w:val="es-CR"/>
        </w:rPr>
      </w:pPr>
      <w:r w:rsidRPr="0060248F">
        <w:rPr>
          <w:lang w:val="es-ES"/>
        </w:rPr>
        <w:t>De manera que al finalizar el día cada expositor debe llevarse lo de valor, las mesas y sillas quedan en el mismo sitio durante los días</w:t>
      </w:r>
      <w:r w:rsidR="00741F92">
        <w:rPr>
          <w:lang w:val="es-ES"/>
        </w:rPr>
        <w:t xml:space="preserve"> de exhibición</w:t>
      </w:r>
      <w:r w:rsidRPr="0060248F">
        <w:rPr>
          <w:lang w:val="es-ES"/>
        </w:rPr>
        <w:t>.</w:t>
      </w:r>
    </w:p>
    <w:p w14:paraId="62BC3BA0" w14:textId="77777777" w:rsidR="0060248F" w:rsidRPr="0060248F" w:rsidRDefault="0060248F" w:rsidP="00741F92">
      <w:pPr>
        <w:numPr>
          <w:ilvl w:val="1"/>
          <w:numId w:val="1"/>
        </w:numPr>
        <w:jc w:val="both"/>
        <w:rPr>
          <w:lang w:val="es-CR"/>
        </w:rPr>
      </w:pPr>
      <w:r w:rsidRPr="0060248F">
        <w:rPr>
          <w:lang w:val="es-ES"/>
        </w:rPr>
        <w:t>No se permite ingerir alimentos en el momento de la exhibición.</w:t>
      </w:r>
    </w:p>
    <w:p w14:paraId="6A484177" w14:textId="77777777" w:rsidR="0060248F" w:rsidRPr="0060248F" w:rsidRDefault="0060248F" w:rsidP="00741F92">
      <w:pPr>
        <w:numPr>
          <w:ilvl w:val="1"/>
          <w:numId w:val="1"/>
        </w:numPr>
        <w:jc w:val="both"/>
        <w:rPr>
          <w:lang w:val="es-CR"/>
        </w:rPr>
      </w:pPr>
      <w:r w:rsidRPr="0060248F">
        <w:rPr>
          <w:lang w:val="es-ES"/>
        </w:rPr>
        <w:t>El incumplimiento de cualquiera de estas normas será motivo suficiente para retirar la exhibición del centro comercial.</w:t>
      </w:r>
    </w:p>
    <w:p w14:paraId="248DF890" w14:textId="77777777" w:rsidR="003A71E6" w:rsidRPr="0060248F" w:rsidRDefault="003A71E6">
      <w:pPr>
        <w:rPr>
          <w:lang w:val="es-CR"/>
        </w:rPr>
      </w:pPr>
    </w:p>
    <w:sectPr w:rsidR="003A71E6" w:rsidRPr="006024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5339FE"/>
    <w:multiLevelType w:val="hybridMultilevel"/>
    <w:tmpl w:val="0BDC3F1A"/>
    <w:lvl w:ilvl="0" w:tplc="158053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8E2A4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EE6B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DC30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C6F6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5E3C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FE0C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F884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8668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48F"/>
    <w:rsid w:val="003A71E6"/>
    <w:rsid w:val="00406604"/>
    <w:rsid w:val="0060248F"/>
    <w:rsid w:val="00741F92"/>
    <w:rsid w:val="00F6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3E7E1"/>
  <w15:chartTrackingRefBased/>
  <w15:docId w15:val="{3EC25E86-CAB3-434E-9DE3-A9E10AC2D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6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280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00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43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91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389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725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4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88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56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25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74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Barrantes Vargas</dc:creator>
  <cp:keywords/>
  <dc:description/>
  <cp:lastModifiedBy>Laura Barrantes Vargas</cp:lastModifiedBy>
  <cp:revision>3</cp:revision>
  <dcterms:created xsi:type="dcterms:W3CDTF">2020-07-08T21:44:00Z</dcterms:created>
  <dcterms:modified xsi:type="dcterms:W3CDTF">2020-07-08T21:44:00Z</dcterms:modified>
</cp:coreProperties>
</file>